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116</w:t>
      </w:r>
    </w:p>
    <w:p>
      <w:r>
        <w:t>Bundesgericht (BGE), 1971-09-15, FR</w:t>
      </w:r>
    </w:p>
    <w:p>
      <w:r>
        <w:rPr>
          <w:b/>
        </w:rPr>
        <w:t xml:space="preserve">Quelle: </w:t>
      </w:r>
      <w:r>
        <w:t>https://mcp.opencaselaw.ch/entscheid/bge_97 III 116</w:t>
      </w:r>
    </w:p>
    <w:p>
      <w:r>
        <w:t>FR: ATF 97 III 116</w:t>
      </w:r>
    </w:p>
    <w:p>
      <w:r>
        <w:t>IT: DTF 97 III 116</w:t>
      </w:r>
    </w:p>
    <w:p>
      <w:pPr>
        <w:pStyle w:val="Heading2"/>
      </w:pPr>
      <w:r>
        <w:t>Regeste</w:t>
      </w:r>
    </w:p>
    <w:p>
      <w:r>
        <w:t>Regeste Reihenfolge der Pfändung der Vermögensstücke. Art. 95 SchKG. Die Pfändung soll in erster Linie das bewegliche Vermögen einschliesslich der gewöhnlichen Forderungen, hierauf das unbewegliche Vermögen erfassen. Mangels solcher Vermögensstücke sind die Lohnguthaben und in letzter Linie diejenigen Vermögensstücke zu pfänden, die der Schuldner als Dritten gehörig bezeichnet oder die von Dritten beansprucht werden. Das gilt auch dann, wenn der Dritte der Ehegatte des Betriebenen ist.</w:t>
      </w:r>
    </w:p>
    <w:p>
      <w:pPr>
        <w:pStyle w:val="Heading2"/>
      </w:pPr>
      <w:r>
        <w:t>Erwägungen</w:t>
      </w:r>
    </w:p>
    <w:p>
      <w:r>
        <w:rPr>
          <w:b/>
        </w:rPr>
        <w:t>E. 1</w:t>
      </w:r>
    </w:p>
    <w:p>
      <w:r>
        <w:t>L'art. 95 LP règle l'ordre de saisie des biens. Il dispose notamment que la saisie porte en première ligne sur les biens meubles, y compris les créances, puis sur les immeubles et en dernier lieu sur les biens que le débiteur désigne comme appartenant à des tiers et sur ceux que des tiers revendiquent. Il est admis toutefois que les créances dont il est question à l'art. 95 al. 1 LP ne comprennent pas les créances de salaire; celles-ci ne peuvent être saisies que si des biens meubles et des immeubles font défaut ou s'ils sont insuffisants pour couvrir la créance (RO 82 III 53 consid. 3, 91 III 56 consid. 4; JAEGER, n. 5 ad art. 93 LP, p. 319 et n. 1 ad art. 95 LP, p. 328). Il reste cependant que les biens désignés par le débiteur comme appartenant à BGE 97 III 116 S. 118 autrui ou revendiqués par des tiers sont saisis en dernier lieu. Le Tribunal fédéral s'est déjà prononcé dans de même sens à propos de la saisie d'une part de communauté. En effet, bien que l'art. 3 OPC prescrive que cette saisie ne peut être opérée qu'"en dernière ligne", il a jugé qu'elle devait néanmoins primer celle de biens revendiqués par des tiers, car il est probable que ces biens échappent en définitive au poids de la saisie (RO 73 III 105, 79 III 19). En l'espèce, les meubles qui garnissent l'appartement occupé par le débiteur ont été revendiqués par sa femme. Certes, dame P. est la créancière poursuivante. Elle n'en revêt pas moins la qualité de tiers revendiquant au sens de l'art. 95 al. 3 LP. Il s'ensuit que la saisie de salaire opérée par l'office est en principe justifiée.</w:t>
      </w:r>
    </w:p>
    <w:p>
      <w:r>
        <w:rPr>
          <w:b/>
        </w:rPr>
        <w:t>E. 2</w:t>
      </w:r>
    </w:p>
    <w:p>
      <w:r>
        <w:t>... Dispositiv Par ces motifs, la Chambre des poursuites et des faillites: Admet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